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PingFang SC Semibold" w:hAnsi="PingFang SC Semibold" w:eastAsia="PingFang SC Semibold" w:cs="PingFang SC Semibold"/>
          <w:b/>
          <w:bCs/>
          <w:sz w:val="28"/>
          <w:szCs w:val="32"/>
          <w:lang w:val="en-US" w:eastAsia="zh-CN"/>
        </w:rPr>
      </w:pPr>
      <w:bookmarkStart w:id="0" w:name="_GoBack"/>
      <w:r>
        <w:rPr>
          <w:rFonts w:hint="eastAsia" w:ascii="PingFang SC Semibold" w:hAnsi="PingFang SC Semibold" w:eastAsia="PingFang SC Semibold" w:cs="PingFang SC Semibold"/>
          <w:b/>
          <w:bCs/>
          <w:sz w:val="28"/>
          <w:szCs w:val="32"/>
          <w:lang w:val="en-US" w:eastAsia="zh-CN"/>
        </w:rPr>
        <w:t>慕尼黑爱乐乐团</w:t>
      </w:r>
    </w:p>
    <w:bookmarkEnd w:id="0"/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慕尼黑爱乐乐团成立于1893年，由钢琴制造商之子弗朗茨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凯姆私人发起。此后，在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多位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著名指挥家的领导下，乐团在慕尼黑的文化生活中留下了不可磨灭的印记。在乐团成立之初（最初名为 "凯姆乐团"），汉斯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温德斯坦、赫尔曼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祖姆佩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、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费利克斯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魏因加特纳和布鲁克纳的学生费迪南德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勒韦等指挥家保证了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乐团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高水准的演奏技术和对当代艺术的热情支持。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CN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古斯塔夫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马勒在1901年和191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0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年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亲自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指挥乐团完成了他的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《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第四交响曲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》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《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第八交响曲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“千人”》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的世界首演。1911 年 11 月，当时名为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“音乐会协会管弦乐团”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的乐团在布鲁诺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瓦尔特的指挥下演出了马勒的《大地之歌》，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六个月后，作曲家在维也纳溘然长逝。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费迪南德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勒韦指挥了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乐团史上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首场大型布鲁克纳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作品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音乐会，并由此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将布鲁克纳的音乐烙进乐团的基因中。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在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齐格蒙·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冯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豪斯格尔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担任乐团音乐总监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期间（1920-1938 年），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他指挥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乐团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世界首演了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两部布鲁克纳交响曲的原版，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并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最终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将乐团的名称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确定为 "慕尼黑爱乐乐团"。从1938年到1944年夏天，乐团由奥地利指挥家奥斯瓦尔德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卡巴斯塔领导。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CN"/>
        </w:rPr>
      </w:pPr>
      <w:r>
        <w:rPr>
          <w:rFonts w:hint="eastAsia" w:ascii="PingFang SC Regular" w:hAnsi="PingFang SC Regular" w:eastAsia="PingFang SC Regular" w:cs="PingFang SC Regular"/>
          <w:lang w:val="en-US" w:eastAsia="zh-CN"/>
        </w:rPr>
        <w:t>尤根·约胡姆指挥乐团完成了二战后的首场演出。汉斯·罗斯鲍德的出现，为慕尼黑爱乐乐团带来了一位热衷于现代音乐的执掌者。罗斯鲍德的继任者是弗里茨·里格尔（Fritz Rieger）和鲁道夫·肯佩（Rudolf Kempe）。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1979 年，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塞尔吉乌·切利比达克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被任命为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乐团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音乐总监。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他在国际范围内指挥的一系列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富有传奇色彩的布鲁克纳音乐会为乐团的国际地位做出了重大贡献，在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切利比达克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时代，乐团多次受邀作为音乐大使为联邦政府或联邦总统伴奏。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乐团的旧址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慕尼黑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音乐厅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在战时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被毁，此后的四十多年里，乐团一直在慕尼黑的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巨神宫中举办音乐会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。1985年，爱乐乐团在慕尼黑市立文化中心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——嘉斯台文化中心中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再次拥有了自己的音乐厅。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1999年9月至2004年 7月，詹姆斯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莱文担任慕尼黑爱乐乐团首席指挥。2004年1月，祖宾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梅塔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被乐团授予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历史上首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个“名誉指挥”的头衔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。2010年 10月，为纪念古斯塔夫-马勒的《第八交响曲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“千人”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》在慕尼黑首演100周年，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时任首席指挥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克里斯蒂安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蒂勒曼指挥了该作品的两场演出。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蒂勒曼卸任后，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洛林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马泽尔接替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了这一职位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，直到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他在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2014 年去世。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2015年至2022年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期间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瓦莱里·捷杰耶夫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担任慕尼黑爱乐乐团首席指挥。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他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构思的节目亮点包括演出肖斯塔科维奇、斯特拉文斯基、普罗科菲耶夫和拉赫玛尼诺夫的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全部交响曲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，以及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创立“慕尼黑爱乐乐团全景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音乐节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”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等新形式。2016年9月，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慕尼黑爱乐乐团自有厂牌MPHIL正式创立并发行了首张唱片。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2017年至2019年，慕尼黑爱乐乐团与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捷杰耶夫多次造访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在安东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布鲁克纳的最后安息之地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——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圣弗洛里安修道院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并在那里录制了布鲁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克纳的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全套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交响曲。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通过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“古典共享”计划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，慕尼黑爱乐乐团为年轻人和老年人制定了一项全面的音乐教育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计划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。每年举办的150多场活动吸引了多达35000名不同年龄段的听众。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在“慕尼黑爱乐乐团在现场”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的口号下，慕尼黑爱乐乐团也会离开自己的大本营，到不同寻常的地方演出，如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慕尼黑皇家宫廷酒馆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、高山草地、俱乐部和工业厂房。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2018年10月1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3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日，为庆祝慕尼黑爱乐乐团成立125周年，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捷杰耶夫指挥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慕尼黑爱乐乐团演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出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了伊戈尔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斯特拉文斯基的《诗篇交响曲》和古斯塔夫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马勒的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《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第八交响曲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“千人”》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2021年10月，慕尼黑爱乐乐团举行了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伊萨尔爱乐大厅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音乐厅落成典礼，这是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嘉斯台文化中线返修期间的乐团驻地。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音乐厅由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“格康、玛格及合伙人”建筑事务所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 xml:space="preserve">设计，音响效果由 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CN"/>
        </w:rPr>
        <w:t>丰田泰久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及其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拥有的“永田声学设计事务所”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设计。慕尼黑爱乐乐团的新座右铭是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“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平易近人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，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开拓创新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”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通过扩大音乐节曲目，以及策划更多音乐会系列形式如“晚间音乐会”“夜之声”“改变”，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为观众创造新的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聆听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机会。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  <w:r>
        <w:rPr>
          <w:rFonts w:hint="eastAsia" w:ascii="PingFang SC Regular" w:hAnsi="PingFang SC Regular" w:eastAsia="PingFang SC Regular" w:cs="PingFang SC Regular"/>
          <w:lang w:val="en-US" w:eastAsia="zh-Hans"/>
        </w:rPr>
        <w:t>2022年3月，拉哈夫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沙尼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指挥慕尼黑三大交响乐团（巴伐利亚国家歌剧院管弦乐团、巴伐利亚广播交响乐团以及慕尼黑爱乐乐团）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与安妮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-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索菲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穆特合作，在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伊萨尔爱乐大厅举办了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慕尼黑援助乌克兰慈善音乐会。2022年9月，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拉哈夫·沙尼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重返慕尼黑爱乐乐团，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带领乐团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在慕尼黑和瑞士举办系列音乐会。2023年2月，慕尼黑爱乐任命拉哈夫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·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沙尼为</w:t>
      </w:r>
      <w:r>
        <w:rPr>
          <w:rFonts w:hint="eastAsia" w:ascii="PingFang SC Regular" w:hAnsi="PingFang SC Regular" w:eastAsia="PingFang SC Regular" w:cs="PingFang SC Regular"/>
          <w:lang w:val="en-US" w:eastAsia="zh-CN"/>
        </w:rPr>
        <w:t>乐团</w:t>
      </w:r>
      <w:r>
        <w:rPr>
          <w:rFonts w:hint="eastAsia" w:ascii="PingFang SC Regular" w:hAnsi="PingFang SC Regular" w:eastAsia="PingFang SC Regular" w:cs="PingFang SC Regular"/>
          <w:lang w:val="en-US" w:eastAsia="zh-Hans"/>
        </w:rPr>
        <w:t>新任首席指挥，任期从2026年9月开始。</w:t>
      </w: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p>
      <w:pPr>
        <w:rPr>
          <w:rFonts w:hint="eastAsia" w:ascii="PingFang SC Regular" w:hAnsi="PingFang SC Regular" w:eastAsia="PingFang SC Regular" w:cs="PingFang SC Regular"/>
          <w:lang w:val="en-US" w:eastAsia="zh-Hans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 Regular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ArialMT">
    <w:panose1 w:val="020B0704020202020204"/>
    <w:charset w:val="00"/>
    <w:family w:val="auto"/>
    <w:pitch w:val="default"/>
    <w:sig w:usb0="E0002AFF" w:usb1="C0007843" w:usb2="00000009" w:usb3="00000000" w:csb0="400001FF" w:csb1="FFFF0000"/>
  </w:font>
  <w:font w:name="Source Han Sans CN Regular">
    <w:panose1 w:val="020B0500000000000000"/>
    <w:charset w:val="86"/>
    <w:family w:val="auto"/>
    <w:pitch w:val="default"/>
    <w:sig w:usb0="20000083" w:usb1="2ADF3C10" w:usb2="00000016" w:usb3="00000000" w:csb0="60060107" w:csb1="00000000"/>
  </w:font>
  <w:font w:name="PingFang SC 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PingFang SC Semibold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3825875</wp:posOffset>
          </wp:positionH>
          <wp:positionV relativeFrom="paragraph">
            <wp:posOffset>22225</wp:posOffset>
          </wp:positionV>
          <wp:extent cx="1411605" cy="177165"/>
          <wp:effectExtent l="0" t="0" r="0" b="0"/>
          <wp:wrapNone/>
          <wp:docPr id="6" name="图片 6" descr="\\KAJIMOTO_DISK\KAJIMOTO_Share\Administration\office\logo\Kajimo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\\KAJIMOTO_DISK\KAJIMOTO_Share\Administration\office\logo\Kajimot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88" cy="17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1A"/>
    <w:rsid w:val="00014346"/>
    <w:rsid w:val="000177FE"/>
    <w:rsid w:val="00033D5E"/>
    <w:rsid w:val="00036E29"/>
    <w:rsid w:val="00045F0C"/>
    <w:rsid w:val="00046EF9"/>
    <w:rsid w:val="0009102D"/>
    <w:rsid w:val="000D73CD"/>
    <w:rsid w:val="000E6A7F"/>
    <w:rsid w:val="0013203A"/>
    <w:rsid w:val="00156D90"/>
    <w:rsid w:val="00160DAE"/>
    <w:rsid w:val="001620B6"/>
    <w:rsid w:val="00163AD1"/>
    <w:rsid w:val="00244B01"/>
    <w:rsid w:val="00265845"/>
    <w:rsid w:val="002C1364"/>
    <w:rsid w:val="002E51A6"/>
    <w:rsid w:val="0031265C"/>
    <w:rsid w:val="003454F7"/>
    <w:rsid w:val="00355914"/>
    <w:rsid w:val="00365DF5"/>
    <w:rsid w:val="003676FF"/>
    <w:rsid w:val="0037022D"/>
    <w:rsid w:val="003C2D49"/>
    <w:rsid w:val="003C37E1"/>
    <w:rsid w:val="004078D9"/>
    <w:rsid w:val="00424325"/>
    <w:rsid w:val="0044066C"/>
    <w:rsid w:val="004A5266"/>
    <w:rsid w:val="004A61AC"/>
    <w:rsid w:val="005461C7"/>
    <w:rsid w:val="00550B3C"/>
    <w:rsid w:val="00556B5F"/>
    <w:rsid w:val="005A07AD"/>
    <w:rsid w:val="005A74D0"/>
    <w:rsid w:val="005C68BD"/>
    <w:rsid w:val="005E555E"/>
    <w:rsid w:val="005E5C74"/>
    <w:rsid w:val="00620F52"/>
    <w:rsid w:val="006363C5"/>
    <w:rsid w:val="00670E0C"/>
    <w:rsid w:val="00671A28"/>
    <w:rsid w:val="006D7A2F"/>
    <w:rsid w:val="00727052"/>
    <w:rsid w:val="0073752B"/>
    <w:rsid w:val="00765C5F"/>
    <w:rsid w:val="00767B0C"/>
    <w:rsid w:val="00770B80"/>
    <w:rsid w:val="007C134E"/>
    <w:rsid w:val="007D364C"/>
    <w:rsid w:val="008165E3"/>
    <w:rsid w:val="008609CA"/>
    <w:rsid w:val="00863333"/>
    <w:rsid w:val="00897217"/>
    <w:rsid w:val="008A5968"/>
    <w:rsid w:val="008B250B"/>
    <w:rsid w:val="008D48B4"/>
    <w:rsid w:val="008E0388"/>
    <w:rsid w:val="008F76A2"/>
    <w:rsid w:val="009165C4"/>
    <w:rsid w:val="0095528F"/>
    <w:rsid w:val="009714F6"/>
    <w:rsid w:val="00976108"/>
    <w:rsid w:val="009C4A13"/>
    <w:rsid w:val="009F3893"/>
    <w:rsid w:val="00A44AA0"/>
    <w:rsid w:val="00A64CF6"/>
    <w:rsid w:val="00AD5A8D"/>
    <w:rsid w:val="00AF3706"/>
    <w:rsid w:val="00AF5D18"/>
    <w:rsid w:val="00B06F42"/>
    <w:rsid w:val="00B11D38"/>
    <w:rsid w:val="00B73816"/>
    <w:rsid w:val="00BA0179"/>
    <w:rsid w:val="00BD6364"/>
    <w:rsid w:val="00C07EF6"/>
    <w:rsid w:val="00C20042"/>
    <w:rsid w:val="00C25678"/>
    <w:rsid w:val="00C345E4"/>
    <w:rsid w:val="00C5007C"/>
    <w:rsid w:val="00C55D5A"/>
    <w:rsid w:val="00C71030"/>
    <w:rsid w:val="00C762A7"/>
    <w:rsid w:val="00C85854"/>
    <w:rsid w:val="00C94B63"/>
    <w:rsid w:val="00CC44C4"/>
    <w:rsid w:val="00CE0FAA"/>
    <w:rsid w:val="00CE62AA"/>
    <w:rsid w:val="00CF4780"/>
    <w:rsid w:val="00CF4890"/>
    <w:rsid w:val="00D10214"/>
    <w:rsid w:val="00D12033"/>
    <w:rsid w:val="00D317F7"/>
    <w:rsid w:val="00D6481A"/>
    <w:rsid w:val="00D96FCB"/>
    <w:rsid w:val="00DF1742"/>
    <w:rsid w:val="00DF323F"/>
    <w:rsid w:val="00E01C96"/>
    <w:rsid w:val="00E7510F"/>
    <w:rsid w:val="00EB7C05"/>
    <w:rsid w:val="00EC094A"/>
    <w:rsid w:val="00EC355F"/>
    <w:rsid w:val="00EE408B"/>
    <w:rsid w:val="00EF5437"/>
    <w:rsid w:val="00F10F92"/>
    <w:rsid w:val="00F23230"/>
    <w:rsid w:val="00F318B4"/>
    <w:rsid w:val="00FA68CA"/>
    <w:rsid w:val="00FB3213"/>
    <w:rsid w:val="00FC5222"/>
    <w:rsid w:val="00FE6285"/>
    <w:rsid w:val="00FF044B"/>
    <w:rsid w:val="00FF6BC4"/>
    <w:rsid w:val="36976673"/>
    <w:rsid w:val="72D2F036"/>
    <w:rsid w:val="7E56A530"/>
    <w:rsid w:val="7FDD9043"/>
    <w:rsid w:val="7FF398DB"/>
    <w:rsid w:val="DFCD2CFE"/>
    <w:rsid w:val="EF3A8328"/>
    <w:rsid w:val="FE3F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3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4">
    <w:name w:val="页眉 字符"/>
    <w:basedOn w:val="9"/>
    <w:link w:val="5"/>
    <w:uiPriority w:val="99"/>
    <w:rPr>
      <w:sz w:val="18"/>
      <w:szCs w:val="18"/>
    </w:rPr>
  </w:style>
  <w:style w:type="character" w:customStyle="1" w:styleId="15">
    <w:name w:val="页脚 字符"/>
    <w:basedOn w:val="9"/>
    <w:link w:val="4"/>
    <w:uiPriority w:val="99"/>
    <w:rPr>
      <w:sz w:val="18"/>
      <w:szCs w:val="18"/>
    </w:rPr>
  </w:style>
  <w:style w:type="paragraph" w:customStyle="1" w:styleId="16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customStyle="1" w:styleId="17">
    <w:name w:val="批注文字 字符"/>
    <w:basedOn w:val="9"/>
    <w:link w:val="2"/>
    <w:semiHidden/>
    <w:uiPriority w:val="99"/>
  </w:style>
  <w:style w:type="character" w:customStyle="1" w:styleId="18">
    <w:name w:val="批注主题 字符"/>
    <w:basedOn w:val="17"/>
    <w:link w:val="7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467</Characters>
  <Lines>3</Lines>
  <Paragraphs>1</Paragraphs>
  <TotalTime>32</TotalTime>
  <ScaleCrop>false</ScaleCrop>
  <LinksUpToDate>false</LinksUpToDate>
  <CharactersWithSpaces>547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2020-03-13T05:13:00Z</dcterms:created>
  <dc:creator>Kajimoto</dc:creator>
  <cp:lastModifiedBy>謝胤杰</cp:lastModifiedBy>
  <cp:lastPrinted>2018-01-19T15:58:00Z</cp:lastPrinted>
  <dcterms:modified xsi:type="dcterms:W3CDTF">2023-12-19T18:05:11Z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B9A1825123110718D76A8165A768DC5C_43</vt:lpwstr>
  </property>
</Properties>
</file>