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CA38AA" w14:textId="4C276D6F" w:rsidR="00475E08" w:rsidRPr="00475E08" w:rsidRDefault="00475E08" w:rsidP="00475E08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ラ・フォル・ジュルネ</w:t>
      </w:r>
      <w:r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 xml:space="preserve"> </w:t>
      </w:r>
      <w:r>
        <w:rPr>
          <w:rFonts w:ascii="ヒラギノ角ゴ Pro W3" w:eastAsia="ヒラギノ角ゴ Pro W3" w:hAnsi="ヒラギノ角ゴ Pro W3" w:cs="ＭＳ Ｐゴシック"/>
          <w:b/>
          <w:bCs/>
          <w:color w:val="222222"/>
          <w:kern w:val="0"/>
          <w:sz w:val="18"/>
          <w:szCs w:val="18"/>
          <w:bdr w:val="none" w:sz="0" w:space="0" w:color="auto" w:frame="1"/>
        </w:rPr>
        <w:t>TOKYO</w:t>
      </w: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 xml:space="preserve">　過去の開催概要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</w:r>
    </w:p>
    <w:p w14:paraId="16EC9532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2020年</w:t>
      </w:r>
    </w:p>
    <w:p w14:paraId="0D2464ED" w14:textId="49AD928D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0373860F" wp14:editId="42D03C7E">
            <wp:extent cx="1428750" cy="2019300"/>
            <wp:effectExtent l="0" t="0" r="0" b="0"/>
            <wp:docPr id="16" name="図 16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08FB2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FF0000"/>
          <w:kern w:val="0"/>
          <w:sz w:val="18"/>
          <w:szCs w:val="18"/>
          <w:bdr w:val="none" w:sz="0" w:space="0" w:color="auto" w:frame="1"/>
        </w:rPr>
        <w:t>テーマ：「Beethoven ――ベートーヴェン」</w:t>
      </w:r>
      <w:r w:rsidRPr="00475E08">
        <w:rPr>
          <w:rFonts w:ascii="ヒラギノ角ゴ Pro W3" w:eastAsia="ヒラギノ角ゴ Pro W3" w:hAnsi="ヒラギノ角ゴ Pro W3" w:cs="ＭＳ Ｐゴシック" w:hint="eastAsia"/>
          <w:color w:val="FF0000"/>
          <w:kern w:val="0"/>
          <w:sz w:val="18"/>
          <w:szCs w:val="18"/>
          <w:bdr w:val="none" w:sz="0" w:space="0" w:color="auto" w:frame="1"/>
        </w:rPr>
        <w:br/>
        <w:t>来場者：約430,000人(見込み)</w:t>
      </w:r>
      <w:r w:rsidRPr="00475E08">
        <w:rPr>
          <w:rFonts w:ascii="ヒラギノ角ゴ Pro W3" w:eastAsia="ヒラギノ角ゴ Pro W3" w:hAnsi="ヒラギノ角ゴ Pro W3" w:cs="ＭＳ Ｐゴシック" w:hint="eastAsia"/>
          <w:color w:val="FF0000"/>
          <w:kern w:val="0"/>
          <w:sz w:val="18"/>
          <w:szCs w:val="18"/>
          <w:bdr w:val="none" w:sz="0" w:space="0" w:color="auto" w:frame="1"/>
        </w:rPr>
        <w:br/>
        <w:t>開催期間：2020年5月2日～5月4日</w:t>
      </w:r>
      <w:r w:rsidRPr="00475E08">
        <w:rPr>
          <w:rFonts w:ascii="ヒラギノ角ゴ Pro W3" w:eastAsia="ヒラギノ角ゴ Pro W3" w:hAnsi="ヒラギノ角ゴ Pro W3" w:cs="ＭＳ Ｐゴシック" w:hint="eastAsia"/>
          <w:color w:val="FF0000"/>
          <w:kern w:val="0"/>
          <w:sz w:val="18"/>
          <w:szCs w:val="18"/>
          <w:bdr w:val="none" w:sz="0" w:space="0" w:color="auto" w:frame="1"/>
        </w:rPr>
        <w:br/>
        <w:t>総公演数：325（うち有料公演 126）</w:t>
      </w:r>
      <w:r w:rsidRPr="00475E08">
        <w:rPr>
          <w:rFonts w:ascii="ヒラギノ角ゴ Pro W3" w:eastAsia="ヒラギノ角ゴ Pro W3" w:hAnsi="ヒラギノ角ゴ Pro W3" w:cs="ＭＳ Ｐゴシック" w:hint="eastAsia"/>
          <w:color w:val="FF0000"/>
          <w:kern w:val="0"/>
          <w:sz w:val="18"/>
          <w:szCs w:val="18"/>
          <w:bdr w:val="none" w:sz="0" w:space="0" w:color="auto" w:frame="1"/>
        </w:rPr>
        <w:br/>
        <w:t>※新型コロナウィルスの為、開催中止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6FD570F5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2019年</w:t>
      </w:r>
    </w:p>
    <w:p w14:paraId="6A5B6A47" w14:textId="526B5A55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01EAAAD2" wp14:editId="0256AE5A">
            <wp:extent cx="1428750" cy="2019300"/>
            <wp:effectExtent l="0" t="0" r="0" b="0"/>
            <wp:docPr id="15" name="図 15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9089F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テーマ：「Carnets de voyage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ボヤージュ　旅から生まれた音楽（ものがたり）」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来場者：約425,000人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開催期間：2019年5月3日～5月5日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総公演数：298（うち有料公演124）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059CAC02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2018年</w:t>
      </w:r>
    </w:p>
    <w:p w14:paraId="667F7FF2" w14:textId="7DAA0328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22A7E4B3" wp14:editId="402C46EF">
            <wp:extent cx="1428750" cy="2028825"/>
            <wp:effectExtent l="0" t="0" r="0" b="9525"/>
            <wp:docPr id="14" name="図 14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5C6219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テーマ：「モンド・ヌーヴォー 新しい世界へ」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来場者：約432,000人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開催期間：2018年4月28日～5月5日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総公演数：451（うち有料公演178）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※池袋エリア含む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272C243D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2017年</w:t>
      </w:r>
    </w:p>
    <w:p w14:paraId="6376F2C1" w14:textId="01AD832D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1DFD7987" wp14:editId="756A14D1">
            <wp:extent cx="1428750" cy="2028825"/>
            <wp:effectExtent l="0" t="0" r="0" b="9525"/>
            <wp:docPr id="13" name="図 13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4BB199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テーマ：「ラ・ダンス 舞曲の祭典」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来場者：約422,000人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開催期間：2017年4月29日～5月6日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総公演数：326（うち有料公演122）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23E93278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2016年</w:t>
      </w:r>
    </w:p>
    <w:p w14:paraId="4441F10C" w14:textId="4C154A26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202BFA00" wp14:editId="25BFD9DA">
            <wp:extent cx="1428750" cy="2019300"/>
            <wp:effectExtent l="0" t="0" r="0" b="0"/>
            <wp:docPr id="12" name="図 12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C92FD4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テーマ：「la nature ナチュール – 自然と音楽」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来場者：約429,000人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開催期間：2016年5月3日～5月5日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総公演数：340（うち有料公演134）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※有料イベント8回含む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313CA305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2015年</w:t>
      </w:r>
    </w:p>
    <w:p w14:paraId="7E46C9D5" w14:textId="67844CAE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52229031" wp14:editId="5C41E894">
            <wp:extent cx="1428750" cy="2009775"/>
            <wp:effectExtent l="0" t="0" r="0" b="9525"/>
            <wp:docPr id="11" name="図 11">
              <a:hlinkClick xmlns:a="http://schemas.openxmlformats.org/drawingml/2006/main" r:id="rId1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>
                      <a:hlinkClick r:id="rId1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9FA78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テーマ：「PASSIONS パシオン」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来場者：約427,000人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開催期間：2015年5月2日～5月4日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総公演数：395（うち有料公演135）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05CAC4CF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2014年</w:t>
      </w:r>
    </w:p>
    <w:p w14:paraId="4EECEC60" w14:textId="36179738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13027880" wp14:editId="1FB9CDC4">
            <wp:extent cx="1428750" cy="2019300"/>
            <wp:effectExtent l="0" t="0" r="0" b="0"/>
            <wp:docPr id="10" name="図 10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4FB09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テーマ：「10回記念　祝祭の日」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来場者：612,000人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開催期間：2014年5月3日～5日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総公演数：229（うち有料公演147）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758F7224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2013年</w:t>
      </w:r>
    </w:p>
    <w:p w14:paraId="1B1AC23F" w14:textId="1CE19723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60D59207" wp14:editId="510DE39B">
            <wp:extent cx="1428750" cy="2019300"/>
            <wp:effectExtent l="0" t="0" r="0" b="0"/>
            <wp:docPr id="9" name="図 9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9AA567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テーマ：「パリ、至福の時」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来場者：414,000人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開催期間：2013年5月3日～5日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総公演数：223（うち有料公演135）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03C85B4E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2012年</w:t>
      </w:r>
    </w:p>
    <w:p w14:paraId="38636E9E" w14:textId="5326172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7C4FF3FA" wp14:editId="14FD43FE">
            <wp:extent cx="1428750" cy="2019300"/>
            <wp:effectExtent l="0" t="0" r="0" b="0"/>
            <wp:docPr id="8" name="図 8">
              <a:hlinkClick xmlns:a="http://schemas.openxmlformats.org/drawingml/2006/main" r:id="rId2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>
                      <a:hlinkClick r:id="rId2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76E7A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テーマ：「サクル・リュス」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来場者：360,000人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開催期間：2012年4月27日～5月5日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総公演数：233（うち有料公演159）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21761850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2011年</w:t>
      </w:r>
    </w:p>
    <w:p w14:paraId="4A8F6E4F" w14:textId="2B95BD13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224FAB11" wp14:editId="5F3FBF2B">
            <wp:extent cx="1428750" cy="2047875"/>
            <wp:effectExtent l="0" t="0" r="0" b="9525"/>
            <wp:docPr id="7" name="図 7">
              <a:hlinkClick xmlns:a="http://schemas.openxmlformats.org/drawingml/2006/main" r:id="rId2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>
                      <a:hlinkClick r:id="rId2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79DD8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テーマ：「-タイタンたち-」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来場者：146,000人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開催期間：2011年4月28日～5月5日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総公演数：175（うち有料公演90）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1CBF5CCF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2010年</w:t>
      </w:r>
    </w:p>
    <w:p w14:paraId="7458360E" w14:textId="61CEF53A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65627EB8" wp14:editId="47389C3F">
            <wp:extent cx="1428750" cy="2047875"/>
            <wp:effectExtent l="0" t="0" r="0" b="9525"/>
            <wp:docPr id="6" name="図 6">
              <a:hlinkClick xmlns:a="http://schemas.openxmlformats.org/drawingml/2006/main" r:id="rId2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>
                      <a:hlinkClick r:id="rId2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1EB483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テーマ：「ショパンの宇宙」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来場者：807,900人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開催期間：2010年4月28日～2010年5月4日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総公演数：358（うち有料公演174）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7000087D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2009年</w:t>
      </w:r>
    </w:p>
    <w:p w14:paraId="4C5289D6" w14:textId="11B3B5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0EA446FE" wp14:editId="2470AD43">
            <wp:extent cx="1428750" cy="2047875"/>
            <wp:effectExtent l="0" t="0" r="0" b="9525"/>
            <wp:docPr id="5" name="図 5">
              <a:hlinkClick xmlns:a="http://schemas.openxmlformats.org/drawingml/2006/main" r:id="rId2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>
                      <a:hlinkClick r:id="rId2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EBC46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テーマ：「バッハとヨーロッパ」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来場者：711,000人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開催期間：2009年4月28日～5月5日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総公演数：419（うち有料公演168）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3A0981A0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2008年</w:t>
      </w:r>
    </w:p>
    <w:p w14:paraId="19BEB9CF" w14:textId="30333191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4F443233" wp14:editId="09201E33">
            <wp:extent cx="1428750" cy="2066925"/>
            <wp:effectExtent l="0" t="0" r="0" b="9525"/>
            <wp:docPr id="4" name="図 4">
              <a:hlinkClick xmlns:a="http://schemas.openxmlformats.org/drawingml/2006/main" r:id="rId2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>
                      <a:hlinkClick r:id="rId2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EAF624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テーマ：「シューベルトとウィーン」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来場者：1,004,000人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開催期間：2008年4月29日～5月6日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総公演数：529（うち有料公演221）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04F1A8E9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2007年</w:t>
      </w:r>
    </w:p>
    <w:p w14:paraId="45E9A05A" w14:textId="06B085D3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0646A3A6" wp14:editId="3B6AAE61">
            <wp:extent cx="1428750" cy="2047875"/>
            <wp:effectExtent l="0" t="0" r="0" b="9525"/>
            <wp:docPr id="3" name="図 3">
              <a:hlinkClick xmlns:a="http://schemas.openxmlformats.org/drawingml/2006/main" r:id="rId3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>
                      <a:hlinkClick r:id="rId3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96EE5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テーマ：「民族のハーモニー」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来場者：1,060,000人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開催期間：2007年4月29日～5月6日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総公演数：473（うち有料公演92）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1AE004A3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2006年</w:t>
      </w:r>
    </w:p>
    <w:p w14:paraId="1F1E9298" w14:textId="0C73E6E4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lastRenderedPageBreak/>
        <w:drawing>
          <wp:inline distT="0" distB="0" distL="0" distR="0" wp14:anchorId="5F00D7F7" wp14:editId="0A9B8CC4">
            <wp:extent cx="1428750" cy="2057400"/>
            <wp:effectExtent l="0" t="0" r="0" b="0"/>
            <wp:docPr id="2" name="図 2">
              <a:hlinkClick xmlns:a="http://schemas.openxmlformats.org/drawingml/2006/main" r:id="rId3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>
                      <a:hlinkClick r:id="rId3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A9F97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テーマ：「モーツァルトと仲間たち」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来場者：695,000人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開催期間：2006年4月29日～5月6日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総公演数：377（うち有料公演145）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 </w:t>
      </w:r>
    </w:p>
    <w:p w14:paraId="2DF963E9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b/>
          <w:bCs/>
          <w:color w:val="222222"/>
          <w:kern w:val="0"/>
          <w:sz w:val="18"/>
          <w:szCs w:val="18"/>
          <w:bdr w:val="none" w:sz="0" w:space="0" w:color="auto" w:frame="1"/>
        </w:rPr>
        <w:t>2005年</w:t>
      </w:r>
    </w:p>
    <w:p w14:paraId="537AA574" w14:textId="68BB69F1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/>
          <w:noProof/>
          <w:color w:val="0000FF"/>
          <w:kern w:val="0"/>
          <w:sz w:val="18"/>
          <w:szCs w:val="18"/>
          <w:bdr w:val="none" w:sz="0" w:space="0" w:color="auto" w:frame="1"/>
        </w:rPr>
        <w:drawing>
          <wp:inline distT="0" distB="0" distL="0" distR="0" wp14:anchorId="3E6A1591" wp14:editId="0C81C050">
            <wp:extent cx="1428750" cy="2047875"/>
            <wp:effectExtent l="0" t="0" r="0" b="9525"/>
            <wp:docPr id="1" name="図 1">
              <a:hlinkClick xmlns:a="http://schemas.openxmlformats.org/drawingml/2006/main" r:id="rId3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>
                      <a:hlinkClick r:id="rId3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A3BBE" w14:textId="77777777" w:rsidR="00475E08" w:rsidRPr="00475E08" w:rsidRDefault="00475E08" w:rsidP="00475E08">
      <w:pPr>
        <w:widowControl/>
        <w:jc w:val="left"/>
        <w:textAlignment w:val="baseline"/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</w:pP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t>テーマ：「ベートーヴェンと仲間たち」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来場者：323,687人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開催期間：2005年4月24日～5月1日</w:t>
      </w:r>
      <w:r w:rsidRPr="00475E08">
        <w:rPr>
          <w:rFonts w:ascii="ヒラギノ角ゴ Pro W3" w:eastAsia="ヒラギノ角ゴ Pro W3" w:hAnsi="ヒラギノ角ゴ Pro W3" w:cs="ＭＳ Ｐゴシック" w:hint="eastAsia"/>
          <w:color w:val="222222"/>
          <w:kern w:val="0"/>
          <w:sz w:val="18"/>
          <w:szCs w:val="18"/>
        </w:rPr>
        <w:br/>
        <w:t>総公演数：209（うち有料公演168）</w:t>
      </w:r>
    </w:p>
    <w:p w14:paraId="300D5FAF" w14:textId="77777777" w:rsidR="00475E08" w:rsidRPr="00475E08" w:rsidRDefault="00475E08"/>
    <w:sectPr w:rsidR="00475E08" w:rsidRPr="00475E08" w:rsidSect="00475E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ヒラギノ角ゴ Pro W3">
    <w:panose1 w:val="020B0300000000000000"/>
    <w:charset w:val="80"/>
    <w:family w:val="swiss"/>
    <w:notTrueType/>
    <w:pitch w:val="variable"/>
    <w:sig w:usb0="E00002FF" w:usb1="7AC7FFFF" w:usb2="00000012" w:usb3="00000000" w:csb0="0002000D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E08"/>
    <w:rsid w:val="0047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F5806"/>
  <w15:chartTrackingRefBased/>
  <w15:docId w15:val="{DDD95110-4BEB-475A-A6E0-A26306CCB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475E0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4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6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hyperlink" Target="http://www.kajimotomusic.com/info/lfj/posters/lfj_2013.pdf" TargetMode="External"/><Relationship Id="rId26" Type="http://schemas.openxmlformats.org/officeDocument/2006/relationships/hyperlink" Target="http://www.kajimotomusic.com/info/lfj/posters/lfj_2009.pdf" TargetMode="External"/><Relationship Id="rId21" Type="http://schemas.openxmlformats.org/officeDocument/2006/relationships/image" Target="media/image9.jpeg"/><Relationship Id="rId34" Type="http://schemas.openxmlformats.org/officeDocument/2006/relationships/hyperlink" Target="http://www.kajimotomusic.com/info/lfj/posters/lfj_2005.pdf" TargetMode="External"/><Relationship Id="rId7" Type="http://schemas.openxmlformats.org/officeDocument/2006/relationships/image" Target="media/image2.jpeg"/><Relationship Id="rId12" Type="http://schemas.openxmlformats.org/officeDocument/2006/relationships/hyperlink" Target="http://www.kajimotomusic.com/info/lfj/posters/lfj_2016.pdf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image" Target="media/image15.jpeg"/><Relationship Id="rId2" Type="http://schemas.openxmlformats.org/officeDocument/2006/relationships/settings" Target="settings.xml"/><Relationship Id="rId16" Type="http://schemas.openxmlformats.org/officeDocument/2006/relationships/hyperlink" Target="http://www.kajimotomusic.com/info/lfj/posters/lfj_2014.pdf" TargetMode="External"/><Relationship Id="rId20" Type="http://schemas.openxmlformats.org/officeDocument/2006/relationships/hyperlink" Target="http://www.kajimotomusic.com/info/lfj/posters/lfj_2012.pdf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www.kajimotomusic.com/info/lfj/posters/lfj_2019.pdf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www.kajimotomusic.com/info/lfj/posters/lfj_2010.pdf" TargetMode="External"/><Relationship Id="rId32" Type="http://schemas.openxmlformats.org/officeDocument/2006/relationships/hyperlink" Target="http://www.kajimotomusic.com/info/lfj/posters/lfj_2006.pdf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www.kajimotomusic.com/info/lfj/posters/lfj_2008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kajimotomusic.com/info/lfj/posters/lfj_2017.pdf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www.kajimotomusic.com/info/lfj/posters/lfj_2020.pdf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kajimotomusic.com/info/lfj/posters/lfj_2015.pdf" TargetMode="External"/><Relationship Id="rId22" Type="http://schemas.openxmlformats.org/officeDocument/2006/relationships/hyperlink" Target="http://www.kajimotomusic.com/info/lfj/posters/lfj_2011.pdf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www.kajimotomusic.com/info/lfj/posters/lfj_2007.pdf" TargetMode="External"/><Relationship Id="rId35" Type="http://schemas.openxmlformats.org/officeDocument/2006/relationships/image" Target="media/image16.jpeg"/><Relationship Id="rId8" Type="http://schemas.openxmlformats.org/officeDocument/2006/relationships/hyperlink" Target="http://www.kajimotomusic.com/info/lfj/posters/lfj_2018.pdf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彩羅 菊地</dc:creator>
  <cp:keywords/>
  <dc:description/>
  <cp:lastModifiedBy>彩羅 菊地</cp:lastModifiedBy>
  <cp:revision>1</cp:revision>
  <dcterms:created xsi:type="dcterms:W3CDTF">2020-12-28T15:39:00Z</dcterms:created>
  <dcterms:modified xsi:type="dcterms:W3CDTF">2020-12-28T15:42:00Z</dcterms:modified>
</cp:coreProperties>
</file>